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AA" w:rsidRPr="003C127F" w:rsidRDefault="00F00A97" w:rsidP="003C12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127F">
        <w:rPr>
          <w:b/>
          <w:sz w:val="32"/>
          <w:szCs w:val="32"/>
        </w:rPr>
        <w:t>Instrukcije za polaganje prijemnog ispita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464"/>
        <w:gridCol w:w="1239"/>
        <w:gridCol w:w="1820"/>
        <w:gridCol w:w="1432"/>
        <w:gridCol w:w="1785"/>
        <w:gridCol w:w="5013"/>
      </w:tblGrid>
      <w:tr w:rsidR="003C127F" w:rsidRPr="003C127F" w:rsidTr="003C127F">
        <w:tc>
          <w:tcPr>
            <w:tcW w:w="1468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Master program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Način polaganja ispita (usmeno/ u pisanoj formi).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Ako je pisana forma, broj testova.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pitanja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Maksimalan broj poena po testu/usmenom ispitivanju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Teme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t>Sociologija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Pisana forma 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  <w:r w:rsidRPr="003C127F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testu, ukupno 50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Za predmet </w:t>
            </w:r>
            <w:r w:rsidRPr="003C127F">
              <w:rPr>
                <w:rFonts w:cstheme="minorHAnsi"/>
                <w:b/>
                <w:sz w:val="24"/>
                <w:szCs w:val="24"/>
              </w:rPr>
              <w:t>Uvod u sociologiju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Sociologija između nauke i imaginacije – osnivači sociologije;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Četiri velike tradicije u sociologiji;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Ključne sociološke dihotomije;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Društvene institucije, organizacije i birokratija;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Društvena stratifikacija;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Društvena pokretljivost i siromaštvo;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Kultura i društvo;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Trendovi savremenog društva;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Savremene tehnologije i društveno istorijske promjene; Obrazovanje i nove tehnologije.</w:t>
            </w:r>
          </w:p>
          <w:p w:rsid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Za predmet </w:t>
            </w:r>
            <w:r w:rsidRPr="003C127F">
              <w:rPr>
                <w:rFonts w:cstheme="minorHAnsi"/>
                <w:b/>
                <w:sz w:val="24"/>
                <w:szCs w:val="24"/>
              </w:rPr>
              <w:t>Sociološki metod</w:t>
            </w:r>
            <w:r w:rsidRPr="003C127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3C127F" w:rsidRPr="003C127F" w:rsidRDefault="003C127F" w:rsidP="003C127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Metodologija;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Sociološki metod;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Struktura istraživačkog procesa; </w:t>
            </w:r>
          </w:p>
          <w:p w:rsidR="003C127F" w:rsidRPr="003C127F" w:rsidRDefault="003C127F" w:rsidP="003C127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lastRenderedPageBreak/>
              <w:t>Istraživačke tehnike u sociologiji.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 xml:space="preserve">Filozofija 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Usmeno, osim za predmet Logika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predmetu, ukupno 50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contextualSpacing/>
              <w:rPr>
                <w:rFonts w:eastAsia="Calibri" w:cstheme="minorHAnsi"/>
                <w:b/>
                <w:sz w:val="24"/>
                <w:szCs w:val="24"/>
                <w:lang w:val="sr-Latn-ME"/>
              </w:rPr>
            </w:pPr>
            <w:r w:rsidRPr="003C127F">
              <w:rPr>
                <w:rFonts w:eastAsia="Calibri" w:cstheme="minorHAnsi"/>
                <w:b/>
                <w:sz w:val="24"/>
                <w:szCs w:val="24"/>
                <w:lang w:val="sr-Latn-ME"/>
              </w:rPr>
              <w:t>Antička filozofija: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1.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en-US"/>
              </w:rPr>
              <w:t> 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Predsokratovsko učenje o physis;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2. Sofistički pokret i antiteza nomos-physis;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3. Sokrat;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4. Platonova ontologija;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5. Platonova analogija između države i duše;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6. Aristotelova </w:t>
            </w:r>
            <w:r w:rsidRPr="003C127F">
              <w:rPr>
                <w:rFonts w:eastAsia="Times New Roman" w:cstheme="minorHAnsi"/>
                <w:i/>
                <w:color w:val="1D2228"/>
                <w:sz w:val="24"/>
                <w:szCs w:val="24"/>
                <w:lang w:val="sr-Latn-ME"/>
              </w:rPr>
              <w:t>Metafizika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7. Aristotelova etika;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8. Stoička apatheia i epikurejska ataraksija;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9. Hrišćanstvo i grčka filosofija;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10. Plotinovo učenje o Jednom.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b/>
                <w:color w:val="1D2228"/>
                <w:sz w:val="24"/>
                <w:szCs w:val="24"/>
                <w:lang w:val="sr-Latn-ME"/>
              </w:rPr>
              <w:t>Savremena filozofija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: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Fenomenološki metod;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Fenomenološka kritika moderne nauke,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Ontološko utemeljenje filosofije;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Lingvistički obrt u filosofiji;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Hermenenutičkim obrt u filosofiji;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Postmoderna;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Problem egzistencije;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Kritika prosvetiteljstva; 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Osnovi jezičko-analitičke filosofije;</w:t>
            </w:r>
          </w:p>
          <w:p w:rsidR="003C127F" w:rsidRPr="003C127F" w:rsidRDefault="003C127F" w:rsidP="003C127F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Problem Ništa u savremenoj filosofiji.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b/>
                <w:color w:val="1D2228"/>
                <w:sz w:val="24"/>
                <w:szCs w:val="24"/>
                <w:lang w:val="sr-Latn-ME"/>
              </w:rPr>
              <w:t>Logika</w:t>
            </w: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1) Pojam iskaza i primjeri iskaza;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2) Tablice istinitosti;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3) Pojam logike, ciljevi predmeta;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4) Drvo formula;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lastRenderedPageBreak/>
              <w:t xml:space="preserve">5) Poljska notacija u pisanju formula;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6) Disjunktivna normalna forma;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7) Konjunktivna normalna forma;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8) Zaključivanje;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9) Kategorički silogizam Aristotela;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10) Dokaz svođenjem na kontradikciju.</w:t>
            </w:r>
          </w:p>
          <w:p w:rsidR="003C127F" w:rsidRPr="003C127F" w:rsidRDefault="003C127F" w:rsidP="003C127F">
            <w:pPr>
              <w:contextualSpacing/>
              <w:rPr>
                <w:rFonts w:eastAsia="Calibri" w:cstheme="minorHAnsi"/>
                <w:sz w:val="24"/>
                <w:szCs w:val="24"/>
                <w:lang w:val="sr-Latn-ME"/>
              </w:rPr>
            </w:pPr>
          </w:p>
          <w:p w:rsidR="003C127F" w:rsidRPr="003C127F" w:rsidRDefault="003C127F" w:rsidP="003C127F">
            <w:pPr>
              <w:contextualSpacing/>
              <w:rPr>
                <w:rFonts w:eastAsia="Calibri" w:cstheme="minorHAnsi"/>
                <w:b/>
                <w:sz w:val="24"/>
                <w:szCs w:val="24"/>
                <w:lang w:val="sr-Latn-ME"/>
              </w:rPr>
            </w:pPr>
            <w:r w:rsidRPr="003C127F">
              <w:rPr>
                <w:rFonts w:eastAsia="Calibri" w:cstheme="minorHAnsi"/>
                <w:b/>
                <w:sz w:val="24"/>
                <w:szCs w:val="24"/>
                <w:lang w:val="sr-Latn-ME"/>
              </w:rPr>
              <w:t>Etika: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1. Etika diskursa: K. O.-Apel, V.Kulman, J.Habermas;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2. Jonasova etika odgovornosti;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3. Moderne forme utilitarizma, modifikovanje utilitarizma u kritičkom racionalizmu;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4. Prava ne-ljudskih bića i budućih generacija;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5. Partikularizam i univerzalizam moralnih standarda: savremena diskusija, koncepcija globalne pravde i „svjetskog etosa“;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6. Dvije verzije konsekvencijalizma: utilitarizam zadovoljstva i utilitarizam ideala;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7. Levinasova etika odgovornosti za Drugog;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8. Tipovi etičkih teorija i sažet pregled njihove istorije ( Aristotel, stoicizam, Kant);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 xml:space="preserve">9.  Moralne i pravne norme, kazna u sferi morala; </w:t>
            </w:r>
          </w:p>
          <w:p w:rsidR="003C127F" w:rsidRPr="003C127F" w:rsidRDefault="003C127F" w:rsidP="003C127F">
            <w:pPr>
              <w:shd w:val="clear" w:color="auto" w:fill="FFFFFF"/>
              <w:contextualSpacing/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</w:pPr>
            <w:r w:rsidRPr="003C127F">
              <w:rPr>
                <w:rFonts w:eastAsia="Times New Roman" w:cstheme="minorHAnsi"/>
                <w:color w:val="1D2228"/>
                <w:sz w:val="24"/>
                <w:szCs w:val="24"/>
                <w:lang w:val="sr-Latn-ME"/>
              </w:rPr>
              <w:t>10. Društvene funkcije morala i etička refleksija, moralni kodeksi i religijski svjetonazori.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 xml:space="preserve">Istorija 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Usmeno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Otvorena pitanja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25 po usmenom ispitu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Pisana forma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 test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50 poena</w:t>
            </w:r>
          </w:p>
        </w:tc>
        <w:tc>
          <w:tcPr>
            <w:tcW w:w="5435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Teme iz oblasti </w:t>
            </w:r>
            <w:r w:rsidRPr="003C127F">
              <w:rPr>
                <w:rFonts w:cstheme="minorHAnsi"/>
                <w:b/>
                <w:sz w:val="24"/>
                <w:szCs w:val="24"/>
              </w:rPr>
              <w:t>fizičke geografije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1. Meteorološki elementi i meteorološke pojave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2. Vrijeme i klima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3. Opšta atmosferska cirkulacija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4. Cikloni i anticikloni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5. Klimatski faktori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6. Fizička svojstva vode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7. Vodni bilans na Zemlji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8. Podzemne vode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9. Limnologija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10. Hidrometrija u potamologiji</w:t>
            </w:r>
          </w:p>
          <w:p w:rsid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Teme iz oblasti </w:t>
            </w:r>
            <w:r w:rsidRPr="003C127F">
              <w:rPr>
                <w:rFonts w:cstheme="minorHAnsi"/>
                <w:b/>
                <w:sz w:val="24"/>
                <w:szCs w:val="24"/>
              </w:rPr>
              <w:t>društvene geografije</w:t>
            </w:r>
            <w:r w:rsidRPr="003C127F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1.  Ljudske rase 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2. Razvoj svjetskog stanovništva i gustina naseljenosti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3. Prirodno kretanje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4. Strukture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5. Migracije stanovništva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6. Pojam, podjela, mreža i sistem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7. Faktori razvoja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8. Ruralna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9. Urbana naselja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10. Naselja Crne Gore</w:t>
            </w: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t>Pedagogija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Pisana forma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t xml:space="preserve">Kominovana pitanja – </w:t>
            </w:r>
            <w:r w:rsidRPr="003C127F">
              <w:rPr>
                <w:rFonts w:cstheme="minorHAnsi"/>
                <w:sz w:val="24"/>
                <w:szCs w:val="24"/>
              </w:rPr>
              <w:lastRenderedPageBreak/>
              <w:t>otvorena i zatvorena</w:t>
            </w:r>
            <w:r w:rsidRPr="003C127F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r w:rsidRPr="003C127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3C127F">
              <w:rPr>
                <w:rFonts w:cstheme="minorHAnsi"/>
                <w:sz w:val="24"/>
                <w:szCs w:val="24"/>
              </w:rPr>
              <w:lastRenderedPageBreak/>
              <w:t>25 po testu</w:t>
            </w:r>
          </w:p>
        </w:tc>
        <w:tc>
          <w:tcPr>
            <w:tcW w:w="5435" w:type="dxa"/>
          </w:tcPr>
          <w:p w:rsidR="003C127F" w:rsidRPr="00A5043D" w:rsidRDefault="003C127F" w:rsidP="003C127F">
            <w:pPr>
              <w:spacing w:after="194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Za predmet </w:t>
            </w:r>
            <w:r w:rsidRPr="00A5043D">
              <w:rPr>
                <w:rFonts w:eastAsia="Calibri" w:cstheme="minorHAnsi"/>
                <w:b/>
                <w:color w:val="000000"/>
                <w:sz w:val="24"/>
                <w:szCs w:val="24"/>
                <w:lang w:eastAsia="en-GB"/>
              </w:rPr>
              <w:t>Uvod u pedagogiju sa teorijom vaspitanja</w:t>
            </w: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Pedagogija i njen predmet proučavanje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Osnovni pedagoški pojmovi i kategorije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Istorijski razvoj vaspitanja kao društvene djelatnosti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Različita shvatanja pojma i cilja vaspitanja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Osnovni činioci razvoja ličnosti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Komponente vaspitanja i njihova međuzavisnost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Sistem pedagoških disciplina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Opšta načela vaspitnog rada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Opšte metode vaspitnog rada </w:t>
            </w:r>
          </w:p>
          <w:p w:rsidR="003C127F" w:rsidRPr="00A5043D" w:rsidRDefault="003C127F" w:rsidP="003C127F">
            <w:pPr>
              <w:numPr>
                <w:ilvl w:val="0"/>
                <w:numId w:val="1"/>
              </w:numPr>
              <w:spacing w:after="162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Savremene pedagoške teorije i pravci </w:t>
            </w:r>
          </w:p>
          <w:p w:rsidR="003C127F" w:rsidRPr="00A5043D" w:rsidRDefault="003C127F" w:rsidP="003C127F">
            <w:pPr>
              <w:spacing w:after="195" w:line="258" w:lineRule="auto"/>
              <w:ind w:left="10" w:hanging="1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Za predmet </w:t>
            </w:r>
            <w:r w:rsidRPr="00A5043D">
              <w:rPr>
                <w:rFonts w:eastAsia="Calibri" w:cstheme="minorHAnsi"/>
                <w:b/>
                <w:color w:val="000000"/>
                <w:sz w:val="24"/>
                <w:szCs w:val="24"/>
                <w:lang w:eastAsia="en-GB"/>
              </w:rPr>
              <w:t>Didaktika</w:t>
            </w: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Didaktika -  predmet proučavanja, osnovni didaktički pojmovi i kategorije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Nastava – pojam i suština, ciljevi nastave, vrste nastave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Faktori nastavnog rada, učenik, nastavnik, nastavni sadržaj i savremena nastavna obrazovna sredstva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Nastavni čas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Nastavni plan i program i nastavni kurikulum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34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Nastavne metode i oblici nastavnog rada </w:t>
            </w:r>
          </w:p>
          <w:p w:rsidR="003C127F" w:rsidRPr="00A5043D" w:rsidRDefault="003C127F" w:rsidP="003C127F">
            <w:pPr>
              <w:numPr>
                <w:ilvl w:val="0"/>
                <w:numId w:val="2"/>
              </w:numPr>
              <w:spacing w:after="157" w:line="258" w:lineRule="auto"/>
              <w:ind w:hanging="361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 w:rsidRPr="00A5043D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Vrednovanje i ocjenjivanje  </w:t>
            </w:r>
          </w:p>
          <w:p w:rsidR="003C127F" w:rsidRPr="003C127F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b/>
                <w:sz w:val="24"/>
                <w:szCs w:val="24"/>
              </w:rPr>
            </w:pPr>
            <w:r w:rsidRPr="00C21278">
              <w:rPr>
                <w:b/>
                <w:sz w:val="24"/>
                <w:szCs w:val="24"/>
              </w:rPr>
              <w:lastRenderedPageBreak/>
              <w:t>Predškolsko vaspitanje i obrazovanje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Pisana (test i scenario praktične aktivnosti) I usmena (intervju)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 test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 scenario</w:t>
            </w: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Pitanja zatvorenog tipa na testu.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Scenario je otvorenog tipa.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20 test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20 scenario</w:t>
            </w: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10 intervju</w:t>
            </w:r>
          </w:p>
        </w:tc>
        <w:tc>
          <w:tcPr>
            <w:tcW w:w="5435" w:type="dxa"/>
          </w:tcPr>
          <w:p w:rsidR="003C127F" w:rsidRPr="00967CC5" w:rsidRDefault="003C127F" w:rsidP="003C127F">
            <w:pPr>
              <w:ind w:left="360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Cyrl-RS"/>
              </w:rPr>
              <w:t xml:space="preserve">Teme iz </w:t>
            </w:r>
            <w:r w:rsidRPr="00967CC5">
              <w:rPr>
                <w:rFonts w:cstheme="minorHAnsi"/>
                <w:b/>
                <w:sz w:val="24"/>
                <w:szCs w:val="24"/>
                <w:lang w:val="sr-Cyrl-RS"/>
              </w:rPr>
              <w:t>metodika: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Osnovni elementi govora. Osobine dobrog govora. Govor kao sredstvo komunikacije. Modeli komunikacije u vrtiću.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Principi i oblici rada. Nastavna sredstva koja se koriste za razvoj govora. Ambijent koji je povoljan za podsticanje komunikacije.</w:t>
            </w:r>
          </w:p>
          <w:p w:rsidR="003C127F" w:rsidRPr="00967CC5" w:rsidRDefault="003C127F" w:rsidP="003C127F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sr-Latn-CS"/>
              </w:rPr>
            </w:pPr>
            <w:r w:rsidRPr="00967CC5">
              <w:rPr>
                <w:rFonts w:cstheme="minorHAnsi"/>
                <w:sz w:val="24"/>
                <w:szCs w:val="24"/>
                <w:lang w:val="sr-Latn-CS"/>
              </w:rPr>
              <w:t>Sadržaji rada na razvoju govora (gov. igre, gov. vježbe, slušanje i diskriminacija, artikulacija, bogaćenje rječnika...)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Osnovni metodički principi i metode rada u razvijanju početnih matematičkih pojmova na predškolskom uzrastu.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967CC5">
              <w:rPr>
                <w:rFonts w:cstheme="minorHAnsi"/>
                <w:bCs/>
                <w:iCs/>
                <w:sz w:val="24"/>
                <w:szCs w:val="24"/>
              </w:rPr>
              <w:t xml:space="preserve">Didaktički sredstva i materijali za usvajanje početnih matematičkih pojmova. 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 Igra u funkciji usvajanja početnih matematičkih pojmova.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Karakteristike saznajnog, socijalnog i emocionalnog razvoja predškolske djece od značaja za </w:t>
            </w:r>
          </w:p>
          <w:p w:rsidR="003C127F" w:rsidRPr="00967CC5" w:rsidRDefault="003C127F" w:rsidP="003C127F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nb-NO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formiranje pojmova o prirodnoj sredini;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Prirodna sredina kao predmet dječjeg interesovanja; 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 Oblast istraživačkih aktivnosti djece predškolskog uzrasta;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967CC5">
              <w:rPr>
                <w:rFonts w:cstheme="minorHAnsi"/>
                <w:sz w:val="24"/>
                <w:szCs w:val="24"/>
                <w:lang w:val="sl-SI"/>
              </w:rPr>
              <w:t xml:space="preserve">Društvena sredina i drštveni odnosi kao predmet dječjeg interesovanja; 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lastRenderedPageBreak/>
              <w:t>Četiri govorne aktivnosti (komponenete jezika). Slušanje i govorenje kao osnova za čitanje i pisanje.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Psihološke, fiziološke, lingvističke i komunikacijske osnove procesa čitanja (i pisanja).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br/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Ciljevi i zadaci  početnog opismenjavanja. Uloga i značaj čitanja i pisanja u dječijem napredovanju.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Principi i oblici rada. Nastavna sredstva koja se koriste za početno opismenjavanje. Planiranje rada.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Kako i kada početi sa opismenjavanjem (šta čitati djeci, kojim slovima početi...).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Igre i aktivnosti za podsticanje pretčitačkih vještina.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Metode rada. Glasovna analitičko-sintetička metoda. Metodički postupci.</w:t>
            </w: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br/>
              <w:t>Struktura nastave početnog čitanja i pisanja. Period pripreme za početno čitanje i pisanje.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 xml:space="preserve">Razvoj dječijeg likovnog izražavanja – I i II stadijum 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Razvoj dječijeg likovnog izražavanja – III i IV stadijum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Posebne specifičnosti likovnog izra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  <w:lang w:val="sr-Latn-CS"/>
              </w:rPr>
              <w:t>žavanj</w:t>
            </w: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a djece predškolskog uzrasta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bCs/>
                <w:iCs/>
                <w:color w:val="auto"/>
                <w:sz w:val="24"/>
              </w:rPr>
              <w:t>Specifična primjena metoda vaspitno-obrazovnog rada u oblasti likovnog vaspitanja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nb-NO"/>
              </w:rPr>
            </w:pPr>
            <w:r w:rsidRPr="00967CC5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Sredstva, pribor i materijali koji se koriste pri likovnim aktivnostima, didaktička sredstva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Nastavna sredstva, zanimanje, uzrasne specifičnosti djece, uzrasne grupe u predškolskim ustanovama</w:t>
            </w:r>
          </w:p>
          <w:p w:rsidR="003C127F" w:rsidRPr="00967CC5" w:rsidRDefault="003C127F" w:rsidP="003C127F">
            <w:pPr>
              <w:pStyle w:val="BodyTextIndent2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4"/>
              </w:rPr>
            </w:pPr>
            <w:r w:rsidRPr="00967CC5">
              <w:rPr>
                <w:rFonts w:asciiTheme="minorHAnsi" w:hAnsiTheme="minorHAnsi" w:cstheme="minorHAnsi"/>
                <w:color w:val="auto"/>
                <w:sz w:val="24"/>
              </w:rPr>
              <w:t>- Orfov instrumentarij – izgled instrumenata, ritmičke i melodijske udaraljke, rad sa horom (vrtić – praksa)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rFonts w:cstheme="minorHAnsi"/>
                <w:b/>
                <w:sz w:val="24"/>
                <w:szCs w:val="24"/>
              </w:rPr>
            </w:pPr>
            <w:r w:rsidRPr="00C21278">
              <w:rPr>
                <w:rFonts w:cstheme="minorHAnsi"/>
                <w:b/>
                <w:sz w:val="24"/>
                <w:szCs w:val="24"/>
              </w:rPr>
              <w:lastRenderedPageBreak/>
              <w:t>Psihologija</w:t>
            </w:r>
          </w:p>
        </w:tc>
        <w:tc>
          <w:tcPr>
            <w:tcW w:w="1180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Pisana (2 testa) i usmena (intervju)</w:t>
            </w:r>
          </w:p>
        </w:tc>
        <w:tc>
          <w:tcPr>
            <w:tcW w:w="1686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2 testa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Od 4 ponuđena testa/predmeta, student bira 2. </w:t>
            </w:r>
          </w:p>
        </w:tc>
        <w:tc>
          <w:tcPr>
            <w:tcW w:w="1330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Zatvorena pitanja</w:t>
            </w:r>
          </w:p>
        </w:tc>
        <w:tc>
          <w:tcPr>
            <w:tcW w:w="1654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25 po testu,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>Intervju se ne boduje</w:t>
            </w:r>
          </w:p>
        </w:tc>
        <w:tc>
          <w:tcPr>
            <w:tcW w:w="5435" w:type="dxa"/>
          </w:tcPr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Metodologija psiholoških istraživanja sa elementima statistike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Opšti, uvodni deo, osnovni pojmovi i postavke;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Osnovni činioci istraživanja, uzorak i kontrola;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Nacrti istraživanja;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Osnovni statistički postupci i obrada podataka posebnih tipova nacrta.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Socijalna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Socijalna spoznaja (percepcija sebe i drugih);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Komunikacija;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Stavovi, stereotipije, predrasude;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Grupni procesi (uticaji u socijalnim grupama, donošenje odluka).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Pedagoška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Pojam i oblici učenja;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Uslovi efikasnog učenja i podučavanja;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Motivacija za učenje;</w:t>
            </w:r>
          </w:p>
          <w:p w:rsidR="003C127F" w:rsidRPr="00967CC5" w:rsidRDefault="003C127F" w:rsidP="003C12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967CC5">
              <w:rPr>
                <w:rFonts w:cstheme="minorHAnsi"/>
                <w:sz w:val="24"/>
                <w:szCs w:val="24"/>
                <w:lang w:val="sr-Latn-RS"/>
              </w:rPr>
              <w:t>Procjenjivanje znanja učenika.</w:t>
            </w:r>
          </w:p>
          <w:p w:rsidR="003C127F" w:rsidRPr="00967CC5" w:rsidRDefault="003C127F" w:rsidP="003C127F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Za predmet </w:t>
            </w:r>
            <w:r w:rsidRPr="00967CC5">
              <w:rPr>
                <w:rFonts w:cstheme="minorHAnsi"/>
                <w:b/>
                <w:sz w:val="24"/>
                <w:szCs w:val="24"/>
              </w:rPr>
              <w:t>Klinička psihologija</w:t>
            </w:r>
            <w:r w:rsidRPr="00967CC5">
              <w:rPr>
                <w:rFonts w:cstheme="minorHAnsi"/>
                <w:sz w:val="24"/>
                <w:szCs w:val="24"/>
              </w:rPr>
              <w:t>: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1. Predmet i zadaci kliničke psihologije;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2.Klinička procjena;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3.Zdravstvena psihologija;</w:t>
            </w:r>
          </w:p>
          <w:p w:rsidR="003C127F" w:rsidRPr="00967CC5" w:rsidRDefault="003C127F" w:rsidP="003C127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67CC5">
              <w:rPr>
                <w:rFonts w:eastAsia="Times New Roman" w:cstheme="minorHAnsi"/>
                <w:sz w:val="24"/>
                <w:szCs w:val="24"/>
                <w:lang w:val="en-US"/>
              </w:rPr>
              <w:t>4.Dječja klinička psihologija.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  <w:r w:rsidRPr="00967CC5">
              <w:rPr>
                <w:rFonts w:cstheme="minorHAnsi"/>
                <w:sz w:val="24"/>
                <w:szCs w:val="24"/>
              </w:rPr>
              <w:t xml:space="preserve">Iz svake od tematskih oblasti u odgovarajućim testovima biće po pet pitanja. </w:t>
            </w:r>
          </w:p>
          <w:p w:rsidR="003C127F" w:rsidRPr="00967CC5" w:rsidRDefault="003C127F" w:rsidP="003C1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7F" w:rsidRPr="003C127F" w:rsidTr="003C127F">
        <w:tc>
          <w:tcPr>
            <w:tcW w:w="1468" w:type="dxa"/>
          </w:tcPr>
          <w:p w:rsidR="003C127F" w:rsidRPr="00C21278" w:rsidRDefault="003C127F" w:rsidP="003C127F">
            <w:pPr>
              <w:rPr>
                <w:b/>
                <w:sz w:val="24"/>
                <w:szCs w:val="24"/>
              </w:rPr>
            </w:pPr>
            <w:r w:rsidRPr="00C21278">
              <w:rPr>
                <w:b/>
                <w:sz w:val="24"/>
                <w:szCs w:val="24"/>
              </w:rPr>
              <w:lastRenderedPageBreak/>
              <w:t>Inkluzivno obrazovaje</w:t>
            </w:r>
          </w:p>
        </w:tc>
        <w:tc>
          <w:tcPr>
            <w:tcW w:w="118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 xml:space="preserve">Usmena   </w:t>
            </w:r>
          </w:p>
        </w:tc>
        <w:tc>
          <w:tcPr>
            <w:tcW w:w="1686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  <w:r w:rsidRPr="003C127F">
              <w:rPr>
                <w:sz w:val="24"/>
                <w:szCs w:val="24"/>
              </w:rPr>
              <w:t>Kandidat dobija tri otvorena pitanja.</w:t>
            </w:r>
          </w:p>
        </w:tc>
        <w:tc>
          <w:tcPr>
            <w:tcW w:w="1654" w:type="dxa"/>
          </w:tcPr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en"/>
              </w:rPr>
              <w:t>Integracija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en"/>
              </w:rPr>
              <w:t>Inkluzija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en"/>
              </w:rPr>
              <w:t>Terminologija i klasifikacija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en"/>
              </w:rPr>
              <w:t>Socijalni razvoj i socijalizacija djece sa posebnim obrazovnim potrebama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en"/>
              </w:rPr>
              <w:t>Interakcija i kooperacija me</w:t>
            </w:r>
            <w:r w:rsidRPr="003C127F">
              <w:rPr>
                <w:rFonts w:ascii="Calibri" w:hAnsi="Calibri" w:cs="Calibri"/>
                <w:sz w:val="24"/>
                <w:szCs w:val="24"/>
                <w:lang w:val="sr-Latn-ME"/>
              </w:rPr>
              <w:t>đu djecom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sr-Latn-ME"/>
              </w:rPr>
              <w:t>Multiprofesionalni tim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sr-Latn-ME"/>
              </w:rPr>
              <w:t>Posmatranje i procjenjivanje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sr-Latn-ME"/>
              </w:rPr>
              <w:t>Saradnja sa porodicom</w:t>
            </w:r>
          </w:p>
          <w:p w:rsidR="003C127F" w:rsidRPr="003C127F" w:rsidRDefault="003C127F" w:rsidP="003C12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  <w:r w:rsidRPr="003C127F">
              <w:rPr>
                <w:rFonts w:ascii="Calibri" w:hAnsi="Calibri" w:cs="Calibri"/>
                <w:sz w:val="24"/>
                <w:szCs w:val="24"/>
                <w:lang w:val="sr-Latn-ME"/>
              </w:rPr>
              <w:t>Individualni razvojni obrazovni plan</w:t>
            </w:r>
          </w:p>
          <w:p w:rsidR="003C127F" w:rsidRPr="003C127F" w:rsidRDefault="003C127F" w:rsidP="003C12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</w:p>
          <w:p w:rsidR="003C127F" w:rsidRPr="003C127F" w:rsidRDefault="003C127F" w:rsidP="003C12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sr-Latn-ME"/>
              </w:rPr>
            </w:pPr>
          </w:p>
          <w:p w:rsidR="003C127F" w:rsidRPr="003C127F" w:rsidRDefault="003C127F" w:rsidP="003C127F">
            <w:pPr>
              <w:rPr>
                <w:sz w:val="24"/>
                <w:szCs w:val="24"/>
              </w:rPr>
            </w:pPr>
          </w:p>
        </w:tc>
      </w:tr>
    </w:tbl>
    <w:p w:rsidR="00F666D7" w:rsidRDefault="00F23DAA">
      <w:pPr>
        <w:rPr>
          <w:lang w:val="sr-Latn-RS"/>
        </w:rPr>
      </w:pPr>
      <w:r>
        <w:t xml:space="preserve"> </w:t>
      </w:r>
    </w:p>
    <w:p w:rsidR="00F23DAA" w:rsidRPr="00967CC5" w:rsidRDefault="00F23DAA">
      <w:pPr>
        <w:rPr>
          <w:sz w:val="28"/>
          <w:szCs w:val="28"/>
          <w:lang w:val="sr-Latn-RS"/>
        </w:rPr>
      </w:pPr>
      <w:r w:rsidRPr="00967CC5">
        <w:rPr>
          <w:sz w:val="28"/>
          <w:szCs w:val="28"/>
          <w:lang w:val="sr-Latn-RS"/>
        </w:rPr>
        <w:t>Za sve studijske programe važi da je kandidat položio prijemni ispit ako kumulativno sakupi najmanje 25 poena na prijemnom ispitu  iz svih predviđenih formi ispitivanja.</w:t>
      </w:r>
    </w:p>
    <w:p w:rsidR="00F23DAA" w:rsidRPr="00967CC5" w:rsidRDefault="00F23DAA">
      <w:pPr>
        <w:rPr>
          <w:sz w:val="28"/>
          <w:szCs w:val="28"/>
          <w:lang w:val="sr-Latn-RS"/>
        </w:rPr>
      </w:pPr>
      <w:r w:rsidRPr="00967CC5">
        <w:rPr>
          <w:sz w:val="28"/>
          <w:szCs w:val="28"/>
          <w:lang w:val="sr-Latn-RS"/>
        </w:rPr>
        <w:t>Detalji o predmetima/oblastima iz kojih se polažu prijemni ispiti nalaze se na linku:</w:t>
      </w:r>
    </w:p>
    <w:p w:rsidR="00F23DAA" w:rsidRPr="00967CC5" w:rsidRDefault="005C0BCF">
      <w:pPr>
        <w:rPr>
          <w:sz w:val="28"/>
          <w:szCs w:val="28"/>
          <w:lang w:val="sr-Latn-RS"/>
        </w:rPr>
      </w:pPr>
      <w:hyperlink r:id="rId8" w:history="1">
        <w:r w:rsidR="00F23DAA" w:rsidRPr="00967CC5">
          <w:rPr>
            <w:rStyle w:val="Hyperlink"/>
            <w:sz w:val="28"/>
            <w:szCs w:val="28"/>
            <w:lang w:val="sr-Latn-RS"/>
          </w:rPr>
          <w:t>https://www.ucg.ac.me/objava/blog/1277/objava/85747-informacije-o-prijemnom-ispitu-za-upis-na-dvogodisnje-master-studije</w:t>
        </w:r>
      </w:hyperlink>
      <w:r w:rsidR="00F23DAA" w:rsidRPr="00967CC5">
        <w:rPr>
          <w:sz w:val="28"/>
          <w:szCs w:val="28"/>
          <w:lang w:val="sr-Latn-RS"/>
        </w:rPr>
        <w:t xml:space="preserve"> </w:t>
      </w:r>
    </w:p>
    <w:p w:rsidR="00F23DAA" w:rsidRDefault="00F23DAA">
      <w:pPr>
        <w:rPr>
          <w:lang w:val="sr-Latn-RS"/>
        </w:rPr>
      </w:pPr>
    </w:p>
    <w:p w:rsidR="00F23DAA" w:rsidRPr="00F23DAA" w:rsidRDefault="00F23DAA">
      <w:pPr>
        <w:rPr>
          <w:lang w:val="sr-Latn-RS"/>
        </w:rPr>
      </w:pPr>
    </w:p>
    <w:sectPr w:rsidR="00F23DAA" w:rsidRPr="00F23DAA" w:rsidSect="00F0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CF" w:rsidRDefault="005C0BCF" w:rsidP="00F23DAA">
      <w:pPr>
        <w:spacing w:after="0" w:line="240" w:lineRule="auto"/>
      </w:pPr>
      <w:r>
        <w:separator/>
      </w:r>
    </w:p>
  </w:endnote>
  <w:endnote w:type="continuationSeparator" w:id="0">
    <w:p w:rsidR="005C0BCF" w:rsidRDefault="005C0BCF" w:rsidP="00F2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9" w:rsidRDefault="00E41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905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F19" w:rsidRDefault="00E41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F19" w:rsidRDefault="00E41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9" w:rsidRDefault="00E4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CF" w:rsidRDefault="005C0BCF" w:rsidP="00F23DAA">
      <w:pPr>
        <w:spacing w:after="0" w:line="240" w:lineRule="auto"/>
      </w:pPr>
      <w:r>
        <w:separator/>
      </w:r>
    </w:p>
  </w:footnote>
  <w:footnote w:type="continuationSeparator" w:id="0">
    <w:p w:rsidR="005C0BCF" w:rsidRDefault="005C0BCF" w:rsidP="00F23DAA">
      <w:pPr>
        <w:spacing w:after="0" w:line="240" w:lineRule="auto"/>
      </w:pPr>
      <w:r>
        <w:continuationSeparator/>
      </w:r>
    </w:p>
  </w:footnote>
  <w:footnote w:id="1">
    <w:p w:rsidR="003C127F" w:rsidRPr="00F23DAA" w:rsidRDefault="003C127F" w:rsidP="003C127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Dato je pitanje na koje kandidat upisuje ili usmeno saopštava odgovor.</w:t>
      </w:r>
    </w:p>
  </w:footnote>
  <w:footnote w:id="2">
    <w:p w:rsidR="003C127F" w:rsidRPr="00F00A97" w:rsidRDefault="003C127F" w:rsidP="003C127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Na zatvorena pitanja kandidat daje odgovor zaokruživanjem tačnog odgovora od nekoliko ponuđenih.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9" w:rsidRDefault="00E41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9" w:rsidRDefault="00E41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19" w:rsidRDefault="00E41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2D2"/>
    <w:multiLevelType w:val="hybridMultilevel"/>
    <w:tmpl w:val="B14C4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10EB"/>
    <w:multiLevelType w:val="hybridMultilevel"/>
    <w:tmpl w:val="9A3ED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67DA4"/>
    <w:multiLevelType w:val="hybridMultilevel"/>
    <w:tmpl w:val="D81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6094"/>
    <w:multiLevelType w:val="hybridMultilevel"/>
    <w:tmpl w:val="91A847F4"/>
    <w:lvl w:ilvl="0" w:tplc="B44C653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6EC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4F0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ED8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8E9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F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801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6A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EEE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70270"/>
    <w:multiLevelType w:val="hybridMultilevel"/>
    <w:tmpl w:val="D81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5F3"/>
    <w:multiLevelType w:val="hybridMultilevel"/>
    <w:tmpl w:val="6A547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2915"/>
    <w:multiLevelType w:val="hybridMultilevel"/>
    <w:tmpl w:val="91DA002A"/>
    <w:lvl w:ilvl="0" w:tplc="BC78E93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6E6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62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462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68D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678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07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0EA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E9718F"/>
    <w:multiLevelType w:val="hybridMultilevel"/>
    <w:tmpl w:val="83EA4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07D7"/>
    <w:multiLevelType w:val="hybridMultilevel"/>
    <w:tmpl w:val="E57E8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A"/>
    <w:rsid w:val="001F486A"/>
    <w:rsid w:val="003825B0"/>
    <w:rsid w:val="003C127F"/>
    <w:rsid w:val="00436846"/>
    <w:rsid w:val="004F2DDA"/>
    <w:rsid w:val="005C0BCF"/>
    <w:rsid w:val="00967CC5"/>
    <w:rsid w:val="00980DD7"/>
    <w:rsid w:val="00A5043D"/>
    <w:rsid w:val="00C21278"/>
    <w:rsid w:val="00E41F19"/>
    <w:rsid w:val="00F00A97"/>
    <w:rsid w:val="00F16103"/>
    <w:rsid w:val="00F23DAA"/>
    <w:rsid w:val="00F666D7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873F-9E06-48D9-9640-973CEC30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A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D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043D"/>
    <w:pPr>
      <w:ind w:left="720"/>
      <w:contextualSpacing/>
    </w:pPr>
  </w:style>
  <w:style w:type="paragraph" w:styleId="BodyTextIndent2">
    <w:name w:val="Body Text Indent 2"/>
    <w:aliases w:val="  uvlaka 2, Car,uvlaka 2,Car"/>
    <w:basedOn w:val="Normal"/>
    <w:link w:val="BodyTextIndent2Char"/>
    <w:rsid w:val="00980DD7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aliases w:val="  uvlaka 2 Char, Car Char,uvlaka 2 Char,Car Char"/>
    <w:basedOn w:val="DefaultParagraphFont"/>
    <w:link w:val="BodyTextIndent2"/>
    <w:rsid w:val="00980DD7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4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19"/>
  </w:style>
  <w:style w:type="paragraph" w:styleId="Footer">
    <w:name w:val="footer"/>
    <w:basedOn w:val="Normal"/>
    <w:link w:val="FooterChar"/>
    <w:uiPriority w:val="99"/>
    <w:unhideWhenUsed/>
    <w:rsid w:val="00E4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objava/blog/1277/objava/85747-informacije-o-prijemnom-ispitu-za-upis-na-dvogodisnje-master-studi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430-B231-438E-9851-827E884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Prodekan za nastavu</cp:lastModifiedBy>
  <cp:revision>2</cp:revision>
  <dcterms:created xsi:type="dcterms:W3CDTF">2020-09-21T12:09:00Z</dcterms:created>
  <dcterms:modified xsi:type="dcterms:W3CDTF">2020-09-21T12:09:00Z</dcterms:modified>
</cp:coreProperties>
</file>